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AD0E5" w14:textId="77777777" w:rsidR="009771B1" w:rsidRPr="00792F85" w:rsidRDefault="009771B1" w:rsidP="00472292">
      <w:pPr>
        <w:rPr>
          <w:b/>
        </w:rPr>
      </w:pPr>
    </w:p>
    <w:p w14:paraId="44C5072E" w14:textId="77777777" w:rsidR="00C7683D" w:rsidRPr="00792F85" w:rsidRDefault="00835197" w:rsidP="00524EC9">
      <w:pPr>
        <w:jc w:val="center"/>
        <w:rPr>
          <w:b/>
          <w:sz w:val="36"/>
          <w:szCs w:val="32"/>
        </w:rPr>
      </w:pPr>
      <w:r w:rsidRPr="00792F85">
        <w:rPr>
          <w:b/>
          <w:sz w:val="36"/>
          <w:szCs w:val="32"/>
        </w:rPr>
        <w:t xml:space="preserve">Příloha č. </w:t>
      </w:r>
      <w:r w:rsidR="00DC1D86" w:rsidRPr="00792F85">
        <w:rPr>
          <w:b/>
          <w:sz w:val="36"/>
          <w:szCs w:val="32"/>
        </w:rPr>
        <w:t>3</w:t>
      </w:r>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0117B592" w:rsidR="00C7683D" w:rsidRPr="00BE2229" w:rsidRDefault="00A6002D" w:rsidP="00761F4C">
            <w:pPr>
              <w:rPr>
                <w:sz w:val="22"/>
              </w:rPr>
            </w:pPr>
            <w:r w:rsidRPr="00BE2229">
              <w:rPr>
                <w:sz w:val="22"/>
              </w:rPr>
              <w:t xml:space="preserve">Tel./e-mail: </w:t>
            </w:r>
            <w:r w:rsidR="00715F9F" w:rsidRPr="00BE2229">
              <w:rPr>
                <w:sz w:val="22"/>
              </w:rPr>
              <w:t>602759191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6092F6EC" w:rsidR="006B73FD" w:rsidRPr="00BE2229" w:rsidRDefault="00A6002D" w:rsidP="00761F4C">
            <w:pPr>
              <w:rPr>
                <w:rStyle w:val="Siln"/>
                <w:b w:val="0"/>
                <w:bCs w:val="0"/>
                <w:sz w:val="22"/>
              </w:rPr>
            </w:pPr>
            <w:r w:rsidRPr="00BE2229">
              <w:rPr>
                <w:sz w:val="22"/>
              </w:rPr>
              <w:t xml:space="preserve">IČ: </w:t>
            </w:r>
            <w:r w:rsidR="00715F9F" w:rsidRPr="00BE2229">
              <w:rPr>
                <w:sz w:val="22"/>
              </w:rPr>
              <w:t>13644327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r w:rsidR="00AF137C" w:rsidRPr="00BE2229">
              <w:rPr>
                <w:sz w:val="22"/>
                <w:highlight w:val="lightGray"/>
              </w:rPr>
              <w:t>…</w:t>
            </w:r>
            <w:r w:rsidRPr="00BE2229">
              <w:rPr>
                <w:sz w:val="22"/>
                <w:highlight w:val="lightGray"/>
              </w:rPr>
              <w:t>….</w:t>
            </w:r>
          </w:p>
        </w:tc>
        <w:tc>
          <w:tcPr>
            <w:tcW w:w="5141" w:type="dxa"/>
            <w:vAlign w:val="center"/>
          </w:tcPr>
          <w:p w14:paraId="1757D58F" w14:textId="059D62DB"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77777777"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2D2C44B8"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7A4FB0B2" w:rsidR="006D0571" w:rsidRPr="006D0571" w:rsidRDefault="00C94773"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Předmětem Smlouvy a těchto obchodních podmínek je </w:t>
      </w:r>
      <w:r w:rsidR="00226AF1">
        <w:rPr>
          <w:sz w:val="22"/>
          <w:szCs w:val="22"/>
        </w:rPr>
        <w:t>zajištění autobusové dopravy</w:t>
      </w:r>
      <w:r w:rsidR="00560E62">
        <w:rPr>
          <w:sz w:val="22"/>
          <w:szCs w:val="22"/>
        </w:rPr>
        <w:t>,</w:t>
      </w:r>
      <w:r w:rsidR="00226AF1">
        <w:rPr>
          <w:sz w:val="22"/>
          <w:szCs w:val="22"/>
        </w:rPr>
        <w:t xml:space="preserve"> dle</w:t>
      </w:r>
      <w:r w:rsidR="00226AF1" w:rsidRPr="00796F0C">
        <w:rPr>
          <w:sz w:val="22"/>
          <w:szCs w:val="22"/>
        </w:rPr>
        <w:t xml:space="preserve"> uvedené</w:t>
      </w:r>
      <w:r w:rsidR="00226AF1">
        <w:rPr>
          <w:sz w:val="22"/>
          <w:szCs w:val="22"/>
        </w:rPr>
        <w:t>ho seznamu cest (viz</w:t>
      </w:r>
      <w:r w:rsidR="00226AF1" w:rsidRPr="00796F0C">
        <w:rPr>
          <w:sz w:val="22"/>
          <w:szCs w:val="22"/>
        </w:rPr>
        <w:t> přílo</w:t>
      </w:r>
      <w:r w:rsidR="00226AF1">
        <w:rPr>
          <w:sz w:val="22"/>
          <w:szCs w:val="22"/>
        </w:rPr>
        <w:t>ha</w:t>
      </w:r>
      <w:r w:rsidR="00226AF1" w:rsidRPr="00796F0C">
        <w:rPr>
          <w:sz w:val="22"/>
          <w:szCs w:val="22"/>
        </w:rPr>
        <w:t xml:space="preserve"> č. 1</w:t>
      </w:r>
      <w:r w:rsidR="00226AF1">
        <w:rPr>
          <w:sz w:val="22"/>
          <w:szCs w:val="22"/>
        </w:rPr>
        <w:t>: Cesty</w:t>
      </w:r>
      <w:r w:rsidR="00226AF1" w:rsidRPr="00796F0C">
        <w:rPr>
          <w:sz w:val="22"/>
          <w:szCs w:val="22"/>
        </w:rPr>
        <w:t>)</w:t>
      </w:r>
      <w:r w:rsidR="00560E62">
        <w:rPr>
          <w:sz w:val="22"/>
          <w:szCs w:val="22"/>
        </w:rPr>
        <w:t>,</w:t>
      </w:r>
      <w:r w:rsidR="00226AF1" w:rsidRPr="00796F0C">
        <w:rPr>
          <w:sz w:val="22"/>
          <w:szCs w:val="22"/>
        </w:rPr>
        <w:t xml:space="preserve"> </w:t>
      </w:r>
      <w:r w:rsidR="00792F85" w:rsidRPr="005A3F97">
        <w:rPr>
          <w:sz w:val="22"/>
          <w:szCs w:val="22"/>
        </w:rPr>
        <w:t>pro potřeby projektu OKAP</w:t>
      </w:r>
      <w:r w:rsidR="009F3B8F">
        <w:rPr>
          <w:sz w:val="22"/>
          <w:szCs w:val="22"/>
        </w:rPr>
        <w:t> </w:t>
      </w:r>
      <w:r w:rsidR="00792F85" w:rsidRPr="005A3F97">
        <w:rPr>
          <w:sz w:val="22"/>
          <w:szCs w:val="22"/>
        </w:rPr>
        <w:t>II</w:t>
      </w:r>
      <w:r w:rsidR="006D0571" w:rsidRPr="005A3F97">
        <w:rPr>
          <w:sz w:val="22"/>
          <w:szCs w:val="22"/>
        </w:rPr>
        <w:t xml:space="preserve"> (dále jen „</w:t>
      </w:r>
      <w:r w:rsidR="00226AF1">
        <w:rPr>
          <w:sz w:val="22"/>
          <w:szCs w:val="22"/>
        </w:rPr>
        <w:t>služba</w:t>
      </w:r>
      <w:r w:rsidR="006D0571" w:rsidRPr="005A3F97">
        <w:rPr>
          <w:sz w:val="22"/>
          <w:szCs w:val="22"/>
        </w:rPr>
        <w:t xml:space="preserve">“), a to za podmínek sjednaných touto smlouvou. </w:t>
      </w:r>
    </w:p>
    <w:p w14:paraId="7B0E0CFF" w14:textId="3C636950"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FB12AC" w:rsidRPr="00FB12AC">
        <w:rPr>
          <w:sz w:val="22"/>
          <w:szCs w:val="22"/>
        </w:rPr>
        <w:t>Autobusová doprava pro potřeby projektu OKAP II.</w:t>
      </w:r>
      <w:r w:rsidRPr="005A3F97">
        <w:rPr>
          <w:sz w:val="22"/>
          <w:szCs w:val="22"/>
        </w:rPr>
        <w:t>“ a spolufinancován v rámci projektu „Odborné,</w:t>
      </w:r>
      <w:r w:rsidR="005A3F97">
        <w:rPr>
          <w:sz w:val="22"/>
          <w:szCs w:val="22"/>
        </w:rPr>
        <w:t xml:space="preserve"> kariérové a </w:t>
      </w:r>
      <w:r w:rsidRPr="005A3F97">
        <w:rPr>
          <w:sz w:val="22"/>
          <w:szCs w:val="22"/>
        </w:rPr>
        <w:t>polytechnické vzdělávání v MSK II“, reg.</w:t>
      </w:r>
      <w:r w:rsidR="005A3F97">
        <w:rPr>
          <w:sz w:val="22"/>
          <w:szCs w:val="22"/>
        </w:rPr>
        <w:t xml:space="preserve"> </w:t>
      </w:r>
      <w:r w:rsidRPr="005A3F97">
        <w:rPr>
          <w:sz w:val="22"/>
          <w:szCs w:val="22"/>
        </w:rPr>
        <w:t xml:space="preserve">č. CZ.02.3.68/0.0/0.0/19_078/0019613 v rámci Operačního programu Výzkum, vývoj a vzdělávání (dále jen „OPVVV“). </w:t>
      </w:r>
    </w:p>
    <w:p w14:paraId="2DC39CB1" w14:textId="61D11E8C"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Kupující se tímto zavazuje za podmínek stanovených touto kupní smlouvou </w:t>
      </w:r>
      <w:r w:rsidR="00245ECF">
        <w:rPr>
          <w:sz w:val="22"/>
          <w:szCs w:val="22"/>
        </w:rPr>
        <w:t>službu po uskutečnění</w:t>
      </w:r>
      <w:r w:rsidR="00245ECF" w:rsidRPr="006D0571">
        <w:rPr>
          <w:sz w:val="22"/>
          <w:szCs w:val="22"/>
        </w:rPr>
        <w:t xml:space="preserve"> </w:t>
      </w:r>
      <w:r w:rsidR="00245ECF">
        <w:rPr>
          <w:sz w:val="22"/>
          <w:szCs w:val="22"/>
        </w:rPr>
        <w:t xml:space="preserve">každé její části </w:t>
      </w:r>
      <w:r w:rsidRPr="006D0571">
        <w:rPr>
          <w:sz w:val="22"/>
          <w:szCs w:val="22"/>
        </w:rPr>
        <w:t xml:space="preserve">zaplatit </w:t>
      </w:r>
      <w:r w:rsidR="005A3F97">
        <w:rPr>
          <w:sz w:val="22"/>
          <w:szCs w:val="22"/>
        </w:rPr>
        <w:t>P</w:t>
      </w:r>
      <w:r w:rsidRPr="006D0571">
        <w:rPr>
          <w:sz w:val="22"/>
          <w:szCs w:val="22"/>
        </w:rPr>
        <w:t xml:space="preserve">rodávajícímu </w:t>
      </w:r>
      <w:r w:rsidR="00970B8B">
        <w:rPr>
          <w:sz w:val="22"/>
          <w:szCs w:val="22"/>
        </w:rPr>
        <w:t xml:space="preserve">za </w:t>
      </w:r>
      <w:r w:rsidR="006D0571" w:rsidRPr="005A3F97">
        <w:rPr>
          <w:sz w:val="22"/>
          <w:szCs w:val="22"/>
        </w:rPr>
        <w:t xml:space="preserve">cenu </w:t>
      </w:r>
      <w:r w:rsidR="00970B8B" w:rsidRPr="005A3F97">
        <w:rPr>
          <w:sz w:val="22"/>
          <w:szCs w:val="22"/>
        </w:rPr>
        <w:t xml:space="preserve">sjednanou </w:t>
      </w:r>
      <w:r w:rsidR="006D0571" w:rsidRPr="005A3F97">
        <w:rPr>
          <w:sz w:val="22"/>
          <w:szCs w:val="22"/>
        </w:rPr>
        <w:t>dle čl. IV této smlouvy</w:t>
      </w:r>
      <w:r w:rsidR="009803D9">
        <w:rPr>
          <w:sz w:val="22"/>
          <w:szCs w:val="22"/>
        </w:rPr>
        <w:t xml:space="preserve"> a dle přílohy č. 1 = Cesty</w:t>
      </w:r>
      <w:r w:rsidR="006D0571" w:rsidRPr="005A3F97">
        <w:rPr>
          <w:sz w:val="22"/>
          <w:szCs w:val="22"/>
        </w:rPr>
        <w:t>.</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VARIANTA A - pro plátce DPH:</w:t>
      </w:r>
    </w:p>
    <w:p w14:paraId="13713A20" w14:textId="3FBD6932"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w:t>
      </w:r>
      <w:r w:rsidR="00476861">
        <w:rPr>
          <w:sz w:val="22"/>
          <w:szCs w:val="22"/>
        </w:rPr>
        <w:t>služby</w:t>
      </w:r>
      <w:r w:rsidRPr="00BD5E9D">
        <w:rPr>
          <w:sz w:val="22"/>
          <w:szCs w:val="22"/>
        </w:rPr>
        <w:t xml:space="preserve">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r w:rsidR="00560E62">
        <w:rPr>
          <w:sz w:val="22"/>
          <w:szCs w:val="22"/>
        </w:rPr>
        <w:t>Ceny jednotlivých jízd jsou uvedeny v příloze č. 1 Cesty.</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VARIANTA B - pro neplátce DPH:</w:t>
      </w:r>
    </w:p>
    <w:p w14:paraId="3135DB28" w14:textId="643ADA17" w:rsidR="00560E62" w:rsidRPr="00BD5E9D" w:rsidRDefault="001F6824" w:rsidP="00560E62">
      <w:pPr>
        <w:pStyle w:val="OdstavecSmlouvy"/>
        <w:keepLines w:val="0"/>
        <w:widowControl w:val="0"/>
        <w:numPr>
          <w:ilvl w:val="0"/>
          <w:numId w:val="37"/>
        </w:numPr>
        <w:tabs>
          <w:tab w:val="clear" w:pos="426"/>
          <w:tab w:val="left" w:pos="708"/>
        </w:tabs>
        <w:spacing w:before="120" w:after="0"/>
        <w:rPr>
          <w:sz w:val="22"/>
          <w:szCs w:val="22"/>
        </w:rPr>
      </w:pPr>
      <w:r w:rsidRPr="00BD5E9D">
        <w:rPr>
          <w:sz w:val="22"/>
          <w:szCs w:val="22"/>
        </w:rPr>
        <w:t xml:space="preserve">Celková cena </w:t>
      </w:r>
      <w:r w:rsidR="00476861">
        <w:rPr>
          <w:sz w:val="22"/>
          <w:szCs w:val="22"/>
        </w:rPr>
        <w:t>služby</w:t>
      </w:r>
      <w:r w:rsidRPr="00BD5E9D">
        <w:rPr>
          <w:sz w:val="22"/>
          <w:szCs w:val="22"/>
        </w:rPr>
        <w:t xml:space="preserve">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r w:rsidR="00560E62">
        <w:rPr>
          <w:sz w:val="22"/>
          <w:szCs w:val="22"/>
        </w:rPr>
        <w:t xml:space="preserve"> </w:t>
      </w:r>
    </w:p>
    <w:p w14:paraId="415ADE80" w14:textId="74F93576" w:rsidR="006B32D4" w:rsidRPr="006B32D4" w:rsidRDefault="006B32D4" w:rsidP="00560E62">
      <w:pPr>
        <w:pStyle w:val="OdstavecSmlouvy"/>
        <w:keepLines w:val="0"/>
        <w:widowControl w:val="0"/>
        <w:numPr>
          <w:ilvl w:val="0"/>
          <w:numId w:val="37"/>
        </w:numPr>
        <w:tabs>
          <w:tab w:val="clear" w:pos="426"/>
          <w:tab w:val="left" w:pos="708"/>
        </w:tabs>
        <w:spacing w:before="120" w:after="0"/>
        <w:rPr>
          <w:sz w:val="22"/>
          <w:szCs w:val="22"/>
        </w:rPr>
      </w:pPr>
      <w:r w:rsidRPr="001639F2">
        <w:rPr>
          <w:sz w:val="22"/>
          <w:szCs w:val="22"/>
        </w:rPr>
        <w:t>Podrobný rozpis kupní ceny</w:t>
      </w:r>
      <w:r w:rsidR="005C1C71">
        <w:rPr>
          <w:sz w:val="22"/>
          <w:szCs w:val="22"/>
        </w:rPr>
        <w:t xml:space="preserve"> (</w:t>
      </w:r>
      <w:bookmarkStart w:id="0" w:name="_GoBack"/>
      <w:r w:rsidR="005C1C71">
        <w:rPr>
          <w:sz w:val="22"/>
          <w:szCs w:val="22"/>
        </w:rPr>
        <w:t xml:space="preserve">ceny  </w:t>
      </w:r>
      <w:bookmarkEnd w:id="0"/>
      <w:r w:rsidR="005C1C71">
        <w:rPr>
          <w:sz w:val="22"/>
          <w:szCs w:val="22"/>
        </w:rPr>
        <w:t>jednotlivých jízd)</w:t>
      </w:r>
      <w:r w:rsidRPr="001639F2">
        <w:rPr>
          <w:sz w:val="22"/>
          <w:szCs w:val="22"/>
        </w:rPr>
        <w:t xml:space="preserve"> je uveden v příloze </w:t>
      </w:r>
      <w:r w:rsidRPr="0021469A">
        <w:rPr>
          <w:sz w:val="22"/>
          <w:szCs w:val="22"/>
        </w:rPr>
        <w:t xml:space="preserve">č. 1 </w:t>
      </w:r>
      <w:r w:rsidRPr="001639F2">
        <w:rPr>
          <w:sz w:val="22"/>
          <w:szCs w:val="22"/>
        </w:rPr>
        <w:t>této smlouvy</w:t>
      </w:r>
      <w:r w:rsidRPr="0021469A">
        <w:rPr>
          <w:sz w:val="22"/>
          <w:szCs w:val="22"/>
        </w:rPr>
        <w:t xml:space="preserve"> = </w:t>
      </w:r>
      <w:r w:rsidR="00476861">
        <w:rPr>
          <w:sz w:val="22"/>
          <w:szCs w:val="22"/>
        </w:rPr>
        <w:t>Cesty</w:t>
      </w:r>
      <w:r w:rsidRPr="001639F2">
        <w:rPr>
          <w:sz w:val="22"/>
          <w:szCs w:val="22"/>
        </w:rPr>
        <w:t>.</w:t>
      </w:r>
    </w:p>
    <w:p w14:paraId="0DC1A11F" w14:textId="185584D1" w:rsidR="009F52D0" w:rsidRPr="00796F0C"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rodávajícího spojené s</w:t>
      </w:r>
      <w:r w:rsidR="00476861">
        <w:rPr>
          <w:sz w:val="22"/>
          <w:szCs w:val="22"/>
        </w:rPr>
        <w:t>e službou</w:t>
      </w:r>
      <w:r w:rsidRPr="00792F85">
        <w:rPr>
          <w:sz w:val="22"/>
          <w:szCs w:val="22"/>
        </w:rPr>
        <w:t>.</w:t>
      </w:r>
      <w:r w:rsidR="009F52D0">
        <w:rPr>
          <w:sz w:val="22"/>
          <w:szCs w:val="22"/>
        </w:rPr>
        <w:t xml:space="preserve"> Toto ustanovení neplatí, jestliže dojde k navýšení průměrné ceny použité pohonné hmoty v ČR o víc než deset procent oproti průměrné ceně uvedené v</w:t>
      </w:r>
      <w:r w:rsidR="005C1C71">
        <w:rPr>
          <w:sz w:val="22"/>
          <w:szCs w:val="22"/>
        </w:rPr>
        <w:t> příloze č. 1 k</w:t>
      </w:r>
      <w:r w:rsidR="009F52D0">
        <w:rPr>
          <w:sz w:val="22"/>
          <w:szCs w:val="22"/>
        </w:rPr>
        <w:t xml:space="preserve">e smlouvě platné při jejím podpisu. </w:t>
      </w:r>
      <w:r w:rsidR="00DA0A1B">
        <w:rPr>
          <w:sz w:val="22"/>
          <w:szCs w:val="22"/>
        </w:rPr>
        <w:t>Pak se c</w:t>
      </w:r>
      <w:r w:rsidR="009F52D0">
        <w:rPr>
          <w:sz w:val="22"/>
          <w:szCs w:val="22"/>
        </w:rPr>
        <w:t>ena za 1 km může navýšit na základě</w:t>
      </w:r>
      <w:r w:rsidR="00DA0A1B">
        <w:rPr>
          <w:sz w:val="22"/>
          <w:szCs w:val="22"/>
        </w:rPr>
        <w:t xml:space="preserve"> písemného </w:t>
      </w:r>
      <w:r w:rsidR="009F52D0">
        <w:rPr>
          <w:sz w:val="22"/>
          <w:szCs w:val="22"/>
        </w:rPr>
        <w:t>dodatk</w:t>
      </w:r>
      <w:r w:rsidR="00DA0A1B">
        <w:rPr>
          <w:sz w:val="22"/>
          <w:szCs w:val="22"/>
        </w:rPr>
        <w:t>u</w:t>
      </w:r>
      <w:r w:rsidR="009F52D0">
        <w:rPr>
          <w:sz w:val="22"/>
          <w:szCs w:val="22"/>
        </w:rPr>
        <w:t xml:space="preserve"> ke smlouvě.</w:t>
      </w:r>
    </w:p>
    <w:p w14:paraId="1FABFD51" w14:textId="3D17888F" w:rsidR="00C3564B"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 xml:space="preserve">Sjednaná kupní cena je </w:t>
      </w:r>
      <w:r w:rsidR="00CB7D66">
        <w:rPr>
          <w:sz w:val="22"/>
          <w:szCs w:val="22"/>
        </w:rPr>
        <w:t>po uskutečnění</w:t>
      </w:r>
      <w:r w:rsidR="00CB7D66" w:rsidRPr="006D0571">
        <w:rPr>
          <w:sz w:val="22"/>
          <w:szCs w:val="22"/>
        </w:rPr>
        <w:t xml:space="preserve"> </w:t>
      </w:r>
      <w:r w:rsidR="00CB7D66">
        <w:rPr>
          <w:sz w:val="22"/>
          <w:szCs w:val="22"/>
        </w:rPr>
        <w:t xml:space="preserve">každé její části </w:t>
      </w:r>
      <w:r w:rsidRPr="00792F85">
        <w:rPr>
          <w:sz w:val="22"/>
          <w:szCs w:val="22"/>
        </w:rPr>
        <w:t>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 xml:space="preserve">rodávajícím,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491E9AA7" w14:textId="46CE7A01" w:rsidR="005A3F97" w:rsidRPr="005A3F97" w:rsidRDefault="005A3F97" w:rsidP="00560E62">
      <w:pPr>
        <w:pStyle w:val="OdstavecSmlouvy"/>
        <w:keepLines w:val="0"/>
        <w:widowControl w:val="0"/>
        <w:numPr>
          <w:ilvl w:val="0"/>
          <w:numId w:val="37"/>
        </w:numPr>
        <w:tabs>
          <w:tab w:val="clear" w:pos="426"/>
          <w:tab w:val="left" w:pos="708"/>
        </w:tabs>
        <w:spacing w:before="120" w:after="0"/>
        <w:rPr>
          <w:sz w:val="22"/>
          <w:szCs w:val="22"/>
        </w:rPr>
      </w:pPr>
      <w:r w:rsidRPr="005A3F97">
        <w:rPr>
          <w:sz w:val="22"/>
          <w:szCs w:val="22"/>
        </w:rPr>
        <w:t>Faktur</w:t>
      </w:r>
      <w:r w:rsidR="00CB7D66">
        <w:rPr>
          <w:sz w:val="22"/>
          <w:szCs w:val="22"/>
        </w:rPr>
        <w:t>y</w:t>
      </w:r>
      <w:r w:rsidRPr="005A3F97">
        <w:rPr>
          <w:sz w:val="22"/>
          <w:szCs w:val="22"/>
        </w:rPr>
        <w:t xml:space="preserve"> </w:t>
      </w:r>
      <w:r w:rsidR="00CB7D66">
        <w:rPr>
          <w:sz w:val="22"/>
          <w:szCs w:val="22"/>
        </w:rPr>
        <w:t xml:space="preserve">za </w:t>
      </w:r>
      <w:r w:rsidR="00C4782A">
        <w:rPr>
          <w:sz w:val="22"/>
          <w:szCs w:val="22"/>
        </w:rPr>
        <w:t>jednotlivé části služby</w:t>
      </w:r>
      <w:r w:rsidRPr="005A3F97">
        <w:rPr>
          <w:sz w:val="22"/>
          <w:szCs w:val="22"/>
        </w:rPr>
        <w:t xml:space="preserve"> bud</w:t>
      </w:r>
      <w:r w:rsidR="00C4782A">
        <w:rPr>
          <w:sz w:val="22"/>
          <w:szCs w:val="22"/>
        </w:rPr>
        <w:t>ou</w:t>
      </w:r>
      <w:r w:rsidRPr="005A3F97">
        <w:rPr>
          <w:sz w:val="22"/>
          <w:szCs w:val="22"/>
        </w:rPr>
        <w:t xml:space="preserve"> označen</w:t>
      </w:r>
      <w:r w:rsidR="005C1C71">
        <w:rPr>
          <w:sz w:val="22"/>
          <w:szCs w:val="22"/>
        </w:rPr>
        <w:t>y</w:t>
      </w:r>
      <w:r w:rsidRPr="005A3F97">
        <w:rPr>
          <w:sz w:val="22"/>
          <w:szCs w:val="22"/>
        </w:rPr>
        <w:t xml:space="preserve"> dle pravidel a metodiky OPVVV = bud</w:t>
      </w:r>
      <w:r w:rsidR="00C4782A">
        <w:rPr>
          <w:sz w:val="22"/>
          <w:szCs w:val="22"/>
        </w:rPr>
        <w:t>ou</w:t>
      </w:r>
      <w:r w:rsidRPr="005A3F97">
        <w:rPr>
          <w:sz w:val="22"/>
          <w:szCs w:val="22"/>
        </w:rPr>
        <w:t xml:space="preserve"> obsahovat text: „</w:t>
      </w:r>
      <w:r w:rsidR="00C4782A">
        <w:rPr>
          <w:sz w:val="22"/>
          <w:szCs w:val="22"/>
        </w:rPr>
        <w:t xml:space="preserve">Zajištění autobusové dopravy </w:t>
      </w:r>
      <w:r w:rsidR="00C4782A" w:rsidRPr="005A3F97">
        <w:rPr>
          <w:sz w:val="22"/>
          <w:szCs w:val="22"/>
        </w:rPr>
        <w:t xml:space="preserve">pro potřeby projektu </w:t>
      </w:r>
      <w:r w:rsidRPr="005A3F97">
        <w:rPr>
          <w:sz w:val="22"/>
          <w:szCs w:val="22"/>
        </w:rPr>
        <w:t>Odborné, kariérové a polytechnické vzdělávání v</w:t>
      </w:r>
      <w:r>
        <w:rPr>
          <w:sz w:val="22"/>
          <w:szCs w:val="22"/>
        </w:rPr>
        <w:t> </w:t>
      </w:r>
      <w:r w:rsidRPr="005A3F97">
        <w:rPr>
          <w:sz w:val="22"/>
          <w:szCs w:val="22"/>
        </w:rPr>
        <w:t>MSK</w:t>
      </w:r>
      <w:r>
        <w:rPr>
          <w:sz w:val="22"/>
          <w:szCs w:val="22"/>
        </w:rPr>
        <w:t xml:space="preserve"> II</w:t>
      </w:r>
      <w:r w:rsidRPr="005A3F97">
        <w:rPr>
          <w:sz w:val="22"/>
          <w:szCs w:val="22"/>
        </w:rPr>
        <w:t>, reg. č. CZ.02.3.68/0.0/0.0/19_078/0019613“.</w:t>
      </w:r>
    </w:p>
    <w:p w14:paraId="3F8F1E49" w14:textId="77777777" w:rsidR="00C7683D" w:rsidRPr="00792F85"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Kupující nebude poskytovat zálohu na kupní cenu</w:t>
      </w:r>
      <w:r w:rsidR="00A874B5" w:rsidRPr="00792F85">
        <w:rPr>
          <w:sz w:val="22"/>
          <w:szCs w:val="22"/>
        </w:rPr>
        <w:t>.</w:t>
      </w:r>
    </w:p>
    <w:p w14:paraId="5D1C004B" w14:textId="03EB72DE" w:rsidR="00C7683D" w:rsidRPr="00792F85"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t xml:space="preserve">Nebude-li </w:t>
      </w:r>
      <w:r w:rsidR="00B862BE">
        <w:rPr>
          <w:sz w:val="22"/>
          <w:szCs w:val="22"/>
        </w:rPr>
        <w:t xml:space="preserve">některá </w:t>
      </w:r>
      <w:r w:rsidRPr="00792F85">
        <w:rPr>
          <w:sz w:val="22"/>
          <w:szCs w:val="22"/>
        </w:rPr>
        <w:t>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w:t>
      </w:r>
      <w:r w:rsidR="00B862BE">
        <w:rPr>
          <w:sz w:val="22"/>
          <w:szCs w:val="22"/>
        </w:rPr>
        <w:t>í</w:t>
      </w:r>
      <w:r w:rsidRPr="00792F85">
        <w:rPr>
          <w:sz w:val="22"/>
          <w:szCs w:val="22"/>
        </w:rPr>
        <w:t xml:space="preserve">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560E62">
      <w:pPr>
        <w:pStyle w:val="OdstavecSmlouvy"/>
        <w:keepLines w:val="0"/>
        <w:widowControl w:val="0"/>
        <w:numPr>
          <w:ilvl w:val="0"/>
          <w:numId w:val="37"/>
        </w:numPr>
        <w:tabs>
          <w:tab w:val="clear" w:pos="426"/>
          <w:tab w:val="left" w:pos="708"/>
        </w:tabs>
        <w:spacing w:before="120" w:after="0"/>
        <w:rPr>
          <w:sz w:val="22"/>
          <w:szCs w:val="22"/>
        </w:rPr>
      </w:pPr>
      <w:r w:rsidRPr="00792F85">
        <w:rPr>
          <w:sz w:val="22"/>
          <w:szCs w:val="22"/>
        </w:rPr>
        <w:lastRenderedPageBreak/>
        <w:t>Kupní cena bude považována za uhrazenou, bude-li nejpozději v den její splatnosti připsána ve prospěch účtu Prodávajícího uvedeného v záhlaví této smlouvy.</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47A641A1" w:rsidR="00C7683D" w:rsidRPr="00792F85" w:rsidRDefault="009803D9" w:rsidP="00C7683D">
      <w:pPr>
        <w:jc w:val="center"/>
        <w:rPr>
          <w:b/>
          <w:bCs/>
          <w:sz w:val="22"/>
          <w:szCs w:val="22"/>
        </w:rPr>
      </w:pPr>
      <w:r>
        <w:rPr>
          <w:b/>
          <w:bCs/>
          <w:sz w:val="22"/>
          <w:szCs w:val="22"/>
        </w:rPr>
        <w:t>M</w:t>
      </w:r>
      <w:r w:rsidR="00C7683D" w:rsidRPr="00792F85">
        <w:rPr>
          <w:b/>
          <w:bCs/>
          <w:sz w:val="22"/>
          <w:szCs w:val="22"/>
        </w:rPr>
        <w:t>ísto a způsob plnění</w:t>
      </w:r>
    </w:p>
    <w:p w14:paraId="3B336EAE" w14:textId="5079B3E5" w:rsidR="00C7683D"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w:t>
      </w:r>
      <w:r w:rsidR="009803D9">
        <w:rPr>
          <w:sz w:val="22"/>
          <w:szCs w:val="22"/>
        </w:rPr>
        <w:t>přistaví autobus</w:t>
      </w:r>
      <w:r w:rsidR="00E66A11">
        <w:rPr>
          <w:sz w:val="22"/>
          <w:szCs w:val="22"/>
        </w:rPr>
        <w:t xml:space="preserve"> v předem dohodnutém datu a čase na místo určené v příloze č. 1 = Cesty</w:t>
      </w:r>
      <w:r w:rsidR="00831E9E">
        <w:rPr>
          <w:sz w:val="22"/>
          <w:szCs w:val="22"/>
        </w:rPr>
        <w:t>, zajistí bezpečný odvoz dle dohodnutého harmonogramu a přiveze cestující zpět</w:t>
      </w:r>
      <w:r w:rsidR="00BD4E98">
        <w:rPr>
          <w:sz w:val="22"/>
          <w:szCs w:val="22"/>
        </w:rPr>
        <w:t xml:space="preserve"> na dohodnuté místo.</w:t>
      </w:r>
    </w:p>
    <w:p w14:paraId="67F746EF" w14:textId="65AFB363" w:rsidR="00BD4E98" w:rsidRPr="00792F85" w:rsidRDefault="00BD4E98" w:rsidP="005A3F97">
      <w:pPr>
        <w:pStyle w:val="OdstavecSmlouvy"/>
        <w:keepLines w:val="0"/>
        <w:widowControl w:val="0"/>
        <w:numPr>
          <w:ilvl w:val="0"/>
          <w:numId w:val="32"/>
        </w:numPr>
        <w:tabs>
          <w:tab w:val="clear" w:pos="426"/>
          <w:tab w:val="left" w:pos="708"/>
        </w:tabs>
        <w:spacing w:before="120" w:after="0"/>
        <w:rPr>
          <w:sz w:val="22"/>
          <w:szCs w:val="22"/>
        </w:rPr>
      </w:pPr>
      <w:r>
        <w:rPr>
          <w:sz w:val="22"/>
          <w:szCs w:val="22"/>
        </w:rPr>
        <w:t>Data a časy jednotlivých jízd budou kupujícím oznámeny co nejdříve, nejpozději však 1 týden před uskutečněním cesty.</w:t>
      </w:r>
    </w:p>
    <w:p w14:paraId="78B99A1D" w14:textId="5E4DC01A" w:rsidR="00C7683D" w:rsidRPr="00792F85" w:rsidRDefault="00827B48" w:rsidP="004B0CB7">
      <w:pPr>
        <w:pStyle w:val="OdstavecSmlouvy"/>
        <w:keepLines w:val="0"/>
        <w:widowControl w:val="0"/>
        <w:numPr>
          <w:ilvl w:val="0"/>
          <w:numId w:val="32"/>
        </w:numPr>
        <w:tabs>
          <w:tab w:val="clear" w:pos="426"/>
          <w:tab w:val="left" w:pos="708"/>
        </w:tabs>
        <w:spacing w:before="120" w:after="0"/>
        <w:rPr>
          <w:sz w:val="22"/>
          <w:szCs w:val="22"/>
        </w:rPr>
      </w:pPr>
      <w:r>
        <w:rPr>
          <w:sz w:val="22"/>
          <w:szCs w:val="22"/>
        </w:rPr>
        <w:t>Každá cesta</w:t>
      </w:r>
      <w:r w:rsidR="00F9409B" w:rsidRPr="00792F85">
        <w:rPr>
          <w:sz w:val="22"/>
          <w:szCs w:val="22"/>
        </w:rPr>
        <w:t xml:space="preserve">, </w:t>
      </w:r>
      <w:r w:rsidR="00C7683D" w:rsidRPr="00792F85">
        <w:rPr>
          <w:sz w:val="22"/>
          <w:szCs w:val="22"/>
        </w:rPr>
        <w:t>bude ukončen</w:t>
      </w:r>
      <w:r>
        <w:rPr>
          <w:sz w:val="22"/>
          <w:szCs w:val="22"/>
        </w:rPr>
        <w:t>a</w:t>
      </w:r>
      <w:r w:rsidR="00C7683D" w:rsidRPr="00792F85">
        <w:rPr>
          <w:sz w:val="22"/>
          <w:szCs w:val="22"/>
        </w:rPr>
        <w:t xml:space="preserve"> podpisem oprávněných osob </w:t>
      </w:r>
      <w:r w:rsidR="00B03101">
        <w:rPr>
          <w:sz w:val="22"/>
          <w:szCs w:val="22"/>
        </w:rPr>
        <w:t xml:space="preserve">(vedoucího pedagoga a řidiče) na </w:t>
      </w:r>
      <w:r w:rsidR="001F07BD">
        <w:rPr>
          <w:sz w:val="22"/>
          <w:szCs w:val="22"/>
        </w:rPr>
        <w:t xml:space="preserve">datovaném </w:t>
      </w:r>
      <w:r w:rsidR="00C7683D" w:rsidRPr="00792F85">
        <w:rPr>
          <w:sz w:val="22"/>
          <w:szCs w:val="22"/>
        </w:rPr>
        <w:t>protokolu</w:t>
      </w:r>
      <w:r w:rsidR="00B03101">
        <w:rPr>
          <w:sz w:val="22"/>
          <w:szCs w:val="22"/>
        </w:rPr>
        <w:t xml:space="preserve"> (příloha č. </w:t>
      </w:r>
      <w:r w:rsidR="005C1C71">
        <w:rPr>
          <w:sz w:val="22"/>
          <w:szCs w:val="22"/>
        </w:rPr>
        <w:t>5</w:t>
      </w:r>
      <w:r w:rsidR="00B03101">
        <w:rPr>
          <w:sz w:val="22"/>
          <w:szCs w:val="22"/>
        </w:rPr>
        <w:t xml:space="preserve"> = Protokol o jízdě), ve kterém bude zapsán skutečný počet ujetých kilometrů a skutečná délka čekání</w:t>
      </w:r>
      <w:r w:rsidR="00C7683D" w:rsidRPr="00792F85">
        <w:rPr>
          <w:sz w:val="22"/>
          <w:szCs w:val="22"/>
        </w:rPr>
        <w:t>.</w:t>
      </w: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25F657DE"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w:t>
      </w:r>
      <w:r w:rsidR="001F07BD">
        <w:rPr>
          <w:sz w:val="22"/>
          <w:szCs w:val="22"/>
        </w:rPr>
        <w:t> přistavením autobusu</w:t>
      </w:r>
      <w:r w:rsidR="00344B6D">
        <w:rPr>
          <w:sz w:val="22"/>
          <w:szCs w:val="22"/>
        </w:rPr>
        <w:t xml:space="preserve"> n</w:t>
      </w:r>
      <w:r w:rsidR="005C1C71">
        <w:rPr>
          <w:sz w:val="22"/>
          <w:szCs w:val="22"/>
        </w:rPr>
        <w:t>a</w:t>
      </w:r>
      <w:r w:rsidR="00344B6D">
        <w:rPr>
          <w:sz w:val="22"/>
          <w:szCs w:val="22"/>
        </w:rPr>
        <w:t xml:space="preserve"> dohodnutý čas</w:t>
      </w:r>
      <w:r w:rsidR="00BA284E">
        <w:rPr>
          <w:sz w:val="22"/>
          <w:szCs w:val="22"/>
        </w:rPr>
        <w:t xml:space="preserve"> (bude zapsáno v Protokolu o jízdě)</w:t>
      </w:r>
      <w:r w:rsidR="00344B6D">
        <w:rPr>
          <w:sz w:val="22"/>
          <w:szCs w:val="22"/>
        </w:rPr>
        <w:t xml:space="preserve">, </w:t>
      </w:r>
      <w:r w:rsidR="00344B6D" w:rsidRPr="00792F85">
        <w:rPr>
          <w:sz w:val="22"/>
          <w:szCs w:val="22"/>
        </w:rPr>
        <w:t>má Kupující</w:t>
      </w:r>
      <w:r w:rsidRPr="00792F85">
        <w:rPr>
          <w:sz w:val="22"/>
          <w:szCs w:val="22"/>
        </w:rPr>
        <w:t xml:space="preserve"> podle této kupní smlouvy nárok na smluvní pokutu ve výši 0,</w:t>
      </w:r>
      <w:r w:rsidR="00287AA9">
        <w:rPr>
          <w:sz w:val="22"/>
          <w:szCs w:val="22"/>
        </w:rPr>
        <w:t>05</w:t>
      </w:r>
      <w:r w:rsidR="00BA284E">
        <w:rPr>
          <w:sz w:val="22"/>
          <w:szCs w:val="22"/>
        </w:rPr>
        <w:t> </w:t>
      </w:r>
      <w:r w:rsidRPr="00792F85">
        <w:rPr>
          <w:sz w:val="22"/>
          <w:szCs w:val="22"/>
        </w:rPr>
        <w:t xml:space="preserve">% z kupní ceny bez DPH </w:t>
      </w:r>
      <w:r w:rsidR="00344B6D">
        <w:rPr>
          <w:sz w:val="22"/>
          <w:szCs w:val="22"/>
        </w:rPr>
        <w:t>jednotlivé jízdy</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bere na vědomí, že je osobou povinou spolupůsobit při výkonu finanční kontroly dle § 2 písm. e) zákona č. 320/2001 Sb., o finanční kontrole ve veřejné správě, v platném znění. 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54046908"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Prodávající je povinen uchovávat veškerou dokumentaci související s realizací projektu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45CE664"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lastRenderedPageBreak/>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sidRPr="00287AA9">
        <w:rPr>
          <w:sz w:val="22"/>
          <w:szCs w:val="22"/>
        </w:rPr>
        <w:t>https://www.sse-najizdarne.cz/ochrana-osobnich-udaju/</w:t>
      </w:r>
      <w:r>
        <w:rPr>
          <w:sz w:val="22"/>
          <w:szCs w:val="22"/>
        </w:rPr>
        <w:t>).</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58C8A5D2" w:rsidR="00287AA9" w:rsidRPr="00287AA9" w:rsidRDefault="00287AA9" w:rsidP="002B799A">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Nedílnou součástí této smlouvy j</w:t>
      </w:r>
      <w:r w:rsidR="009A7662">
        <w:rPr>
          <w:sz w:val="22"/>
          <w:szCs w:val="22"/>
        </w:rPr>
        <w:t xml:space="preserve">e </w:t>
      </w:r>
      <w:r w:rsidRPr="00287AA9">
        <w:rPr>
          <w:sz w:val="22"/>
          <w:szCs w:val="22"/>
        </w:rPr>
        <w:t xml:space="preserve">Příloha č. 1: </w:t>
      </w:r>
      <w:r w:rsidR="00AC1ECD">
        <w:rPr>
          <w:sz w:val="22"/>
          <w:szCs w:val="22"/>
        </w:rPr>
        <w:t>Cesty</w:t>
      </w:r>
      <w:r w:rsidRPr="00287AA9">
        <w:rPr>
          <w:sz w:val="22"/>
          <w:szCs w:val="22"/>
        </w:rPr>
        <w:t xml:space="preserve">. </w:t>
      </w:r>
    </w:p>
    <w:p w14:paraId="52E98096" w14:textId="77777777" w:rsidR="00287AA9" w:rsidRPr="00792F85" w:rsidRDefault="00287AA9" w:rsidP="00287AA9">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0C4C8CA7" w:rsidR="009771B1" w:rsidRPr="00792F85" w:rsidRDefault="005C1C71" w:rsidP="005C1C71">
      <w:pPr>
        <w:tabs>
          <w:tab w:val="left" w:pos="3330"/>
        </w:tabs>
        <w:jc w:val="both"/>
        <w:rPr>
          <w:sz w:val="22"/>
          <w:szCs w:val="22"/>
        </w:rPr>
      </w:pPr>
      <w:r>
        <w:rPr>
          <w:sz w:val="22"/>
          <w:szCs w:val="22"/>
        </w:rPr>
        <w:tab/>
      </w: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r w:rsidRPr="00792F85">
        <w:rPr>
          <w:sz w:val="22"/>
          <w:szCs w:val="22"/>
        </w:rPr>
        <w:t xml:space="preserve">V  </w:t>
      </w:r>
      <w:r w:rsidR="00D05574">
        <w:rPr>
          <w:sz w:val="22"/>
          <w:szCs w:val="22"/>
        </w:rPr>
        <w:tab/>
      </w:r>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564EA" w14:textId="77777777" w:rsidR="00DD0515" w:rsidRDefault="00DD0515">
      <w:r>
        <w:separator/>
      </w:r>
    </w:p>
  </w:endnote>
  <w:endnote w:type="continuationSeparator" w:id="0">
    <w:p w14:paraId="6A5C19D8" w14:textId="77777777" w:rsidR="00DD0515" w:rsidRDefault="00DD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FB8F6" w14:textId="6A7780F7"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FC3FF6">
      <w:rPr>
        <w:noProof/>
        <w:snapToGrid w:val="0"/>
        <w:sz w:val="18"/>
      </w:rPr>
      <w:t>4</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FC3FF6">
      <w:rPr>
        <w:noProof/>
        <w:snapToGrid w:val="0"/>
        <w:sz w:val="18"/>
      </w:rPr>
      <w:t>4</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8184" w14:textId="54DAD04F"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FC3FF6">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FC3FF6">
      <w:rPr>
        <w:noProof/>
        <w:snapToGrid w:val="0"/>
        <w:sz w:val="18"/>
      </w:rPr>
      <w:t>4</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60FA6" w14:textId="77777777" w:rsidR="00DD0515" w:rsidRDefault="00DD0515">
      <w:r>
        <w:separator/>
      </w:r>
    </w:p>
  </w:footnote>
  <w:footnote w:type="continuationSeparator" w:id="0">
    <w:p w14:paraId="7AD59F3C" w14:textId="77777777" w:rsidR="00DD0515" w:rsidRDefault="00DD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0B6A04D3"/>
    <w:multiLevelType w:val="hybridMultilevel"/>
    <w:tmpl w:val="7F847502"/>
    <w:lvl w:ilvl="0" w:tplc="DD58F9C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4"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7"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1"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2"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4"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abstractNumId w:val="31"/>
  </w:num>
  <w:num w:numId="2">
    <w:abstractNumId w:val="16"/>
  </w:num>
  <w:num w:numId="3">
    <w:abstractNumId w:val="19"/>
  </w:num>
  <w:num w:numId="4">
    <w:abstractNumId w:val="33"/>
  </w:num>
  <w:num w:numId="5">
    <w:abstractNumId w:val="20"/>
  </w:num>
  <w:num w:numId="6">
    <w:abstractNumId w:val="10"/>
  </w:num>
  <w:num w:numId="7">
    <w:abstractNumId w:val="13"/>
  </w:num>
  <w:num w:numId="8">
    <w:abstractNumId w:val="26"/>
  </w:num>
  <w:num w:numId="9">
    <w:abstractNumId w:val="32"/>
  </w:num>
  <w:num w:numId="10">
    <w:abstractNumId w:val="8"/>
  </w:num>
  <w:num w:numId="11">
    <w:abstractNumId w:val="4"/>
  </w:num>
  <w:num w:numId="12">
    <w:abstractNumId w:val="6"/>
  </w:num>
  <w:num w:numId="13">
    <w:abstractNumId w:val="30"/>
  </w:num>
  <w:num w:numId="14">
    <w:abstractNumId w:val="0"/>
  </w:num>
  <w:num w:numId="15">
    <w:abstractNumId w:val="35"/>
  </w:num>
  <w:num w:numId="16">
    <w:abstractNumId w:val="3"/>
  </w:num>
  <w:num w:numId="17">
    <w:abstractNumId w:val="2"/>
  </w:num>
  <w:num w:numId="18">
    <w:abstractNumId w:val="5"/>
  </w:num>
  <w:num w:numId="19">
    <w:abstractNumId w:val="7"/>
  </w:num>
  <w:num w:numId="20">
    <w:abstractNumId w:val="14"/>
  </w:num>
  <w:num w:numId="21">
    <w:abstractNumId w:val="12"/>
  </w:num>
  <w:num w:numId="22">
    <w:abstractNumId w:val="22"/>
  </w:num>
  <w:num w:numId="23">
    <w:abstractNumId w:val="27"/>
  </w:num>
  <w:num w:numId="24">
    <w:abstractNumId w:val="25"/>
  </w:num>
  <w:num w:numId="25">
    <w:abstractNumId w:val="18"/>
  </w:num>
  <w:num w:numId="26">
    <w:abstractNumId w:val="34"/>
  </w:num>
  <w:num w:numId="27">
    <w:abstractNumId w:val="23"/>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num>
  <w:num w:numId="31">
    <w:abstractNumId w:val="29"/>
  </w:num>
  <w:num w:numId="32">
    <w:abstractNumId w:val="28"/>
  </w:num>
  <w:num w:numId="33">
    <w:abstractNumId w:val="24"/>
  </w:num>
  <w:num w:numId="34">
    <w:abstractNumId w:val="11"/>
  </w:num>
  <w:num w:numId="35">
    <w:abstractNumId w:val="17"/>
  </w:num>
  <w:num w:numId="36">
    <w:abstractNumId w:val="21"/>
  </w:num>
  <w:num w:numId="3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845C4"/>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7BD"/>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26AF1"/>
    <w:rsid w:val="00230013"/>
    <w:rsid w:val="002341FE"/>
    <w:rsid w:val="0023492B"/>
    <w:rsid w:val="002373FF"/>
    <w:rsid w:val="002419DA"/>
    <w:rsid w:val="00241CDA"/>
    <w:rsid w:val="00245ECF"/>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4B6D"/>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861"/>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0E62"/>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0947"/>
    <w:rsid w:val="005B39AD"/>
    <w:rsid w:val="005B4342"/>
    <w:rsid w:val="005B67BC"/>
    <w:rsid w:val="005B7399"/>
    <w:rsid w:val="005C084F"/>
    <w:rsid w:val="005C1C71"/>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52E09"/>
    <w:rsid w:val="00757B97"/>
    <w:rsid w:val="00761F4C"/>
    <w:rsid w:val="00764305"/>
    <w:rsid w:val="00771780"/>
    <w:rsid w:val="0077180E"/>
    <w:rsid w:val="00771D31"/>
    <w:rsid w:val="00772EB1"/>
    <w:rsid w:val="0077630E"/>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27B48"/>
    <w:rsid w:val="008313CA"/>
    <w:rsid w:val="00831C28"/>
    <w:rsid w:val="00831C48"/>
    <w:rsid w:val="00831E9E"/>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0B8B"/>
    <w:rsid w:val="00971FBE"/>
    <w:rsid w:val="00973753"/>
    <w:rsid w:val="00973977"/>
    <w:rsid w:val="00973995"/>
    <w:rsid w:val="009739D4"/>
    <w:rsid w:val="0097440C"/>
    <w:rsid w:val="00974C30"/>
    <w:rsid w:val="00975399"/>
    <w:rsid w:val="00976036"/>
    <w:rsid w:val="009771B1"/>
    <w:rsid w:val="009803D9"/>
    <w:rsid w:val="00983A25"/>
    <w:rsid w:val="00984233"/>
    <w:rsid w:val="009848DA"/>
    <w:rsid w:val="009903BD"/>
    <w:rsid w:val="00990AD3"/>
    <w:rsid w:val="00992199"/>
    <w:rsid w:val="00993572"/>
    <w:rsid w:val="00994156"/>
    <w:rsid w:val="009954E7"/>
    <w:rsid w:val="00995543"/>
    <w:rsid w:val="0099658E"/>
    <w:rsid w:val="0099788F"/>
    <w:rsid w:val="009A38BA"/>
    <w:rsid w:val="009A7662"/>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3B8F"/>
    <w:rsid w:val="009F52D0"/>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1ECD"/>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101"/>
    <w:rsid w:val="00B03F79"/>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4616"/>
    <w:rsid w:val="00B75308"/>
    <w:rsid w:val="00B83513"/>
    <w:rsid w:val="00B85F1D"/>
    <w:rsid w:val="00B862BE"/>
    <w:rsid w:val="00B874AB"/>
    <w:rsid w:val="00B917D8"/>
    <w:rsid w:val="00B91896"/>
    <w:rsid w:val="00B93240"/>
    <w:rsid w:val="00B96FBD"/>
    <w:rsid w:val="00B97214"/>
    <w:rsid w:val="00BA066B"/>
    <w:rsid w:val="00BA284E"/>
    <w:rsid w:val="00BA3777"/>
    <w:rsid w:val="00BA3879"/>
    <w:rsid w:val="00BA474D"/>
    <w:rsid w:val="00BA5F4C"/>
    <w:rsid w:val="00BA6438"/>
    <w:rsid w:val="00BA64C1"/>
    <w:rsid w:val="00BA7BD1"/>
    <w:rsid w:val="00BB3635"/>
    <w:rsid w:val="00BB3F69"/>
    <w:rsid w:val="00BB6B40"/>
    <w:rsid w:val="00BC795A"/>
    <w:rsid w:val="00BD439A"/>
    <w:rsid w:val="00BD4E98"/>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343A"/>
    <w:rsid w:val="00C438EB"/>
    <w:rsid w:val="00C4782A"/>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2AC3"/>
    <w:rsid w:val="00CA412F"/>
    <w:rsid w:val="00CA4D29"/>
    <w:rsid w:val="00CA58C6"/>
    <w:rsid w:val="00CA5F22"/>
    <w:rsid w:val="00CA78B6"/>
    <w:rsid w:val="00CB1C56"/>
    <w:rsid w:val="00CB2590"/>
    <w:rsid w:val="00CB37A7"/>
    <w:rsid w:val="00CB39B6"/>
    <w:rsid w:val="00CB7729"/>
    <w:rsid w:val="00CB7D66"/>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0A1B"/>
    <w:rsid w:val="00DA55DF"/>
    <w:rsid w:val="00DB0048"/>
    <w:rsid w:val="00DB2787"/>
    <w:rsid w:val="00DB51CD"/>
    <w:rsid w:val="00DB7645"/>
    <w:rsid w:val="00DC1D86"/>
    <w:rsid w:val="00DC6BA4"/>
    <w:rsid w:val="00DD0515"/>
    <w:rsid w:val="00DD0833"/>
    <w:rsid w:val="00DD2FA1"/>
    <w:rsid w:val="00DD396D"/>
    <w:rsid w:val="00DD5C7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6A1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0F00"/>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12AC"/>
    <w:rsid w:val="00FB288C"/>
    <w:rsid w:val="00FB491E"/>
    <w:rsid w:val="00FC25B8"/>
    <w:rsid w:val="00FC2FC8"/>
    <w:rsid w:val="00FC3577"/>
    <w:rsid w:val="00FC3FF6"/>
    <w:rsid w:val="00FC5C25"/>
    <w:rsid w:val="00FC7216"/>
    <w:rsid w:val="00FD173F"/>
    <w:rsid w:val="00FD2735"/>
    <w:rsid w:val="00FD28A1"/>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uiPriority w:val="99"/>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98f7a3c9-c4d7-409d-9095-ed610060110e"/>
    <ds:schemaRef ds:uri="cf8bb5f8-a511-48fa-8af4-7ad8f93db54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1359</Words>
  <Characters>8022</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18</cp:revision>
  <cp:lastPrinted>2018-08-30T06:50:00Z</cp:lastPrinted>
  <dcterms:created xsi:type="dcterms:W3CDTF">2021-11-23T21:25:00Z</dcterms:created>
  <dcterms:modified xsi:type="dcterms:W3CDTF">2022-11-02T11:35:00Z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